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34.png" ContentType="image/png"/>
  <Override PartName="/word/media/rId29.png" ContentType="image/png"/>
  <Override PartName="/word/media/rId27.png" ContentType="image/png"/>
  <Override PartName="/word/media/rId4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allows us to ask:</w:t>
      </w:r>
      <w:r>
        <w:t xml:space="preserve"> </w:t>
      </w:r>
      <w:r>
        <w:rPr>
          <w:i/>
        </w:rP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the previous growing season (NIO), or a 13-month window extending from past to current growing season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34 of 42), and the majority of best models included a significant second-order linear</w:t>
      </w:r>
      <w:r>
        <w:t xml:space="preserve"> </w:t>
      </w:r>
      <m:oMath>
        <m:r>
          <m:t>D</m:t>
        </m:r>
        <m:r>
          <m:t>B</m:t>
        </m:r>
        <m:r>
          <m:t>H</m:t>
        </m:r>
      </m:oMath>
      <w:r>
        <w:t xml:space="preserve"> </w:t>
      </w:r>
      <w:r>
        <w:t xml:space="preserve">term (n= 25,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41 of 42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 non-significant negative coefficient for</w:t>
      </w:r>
      <w:r>
        <w:t xml:space="preserve"> </w:t>
      </w:r>
      <w:r>
        <w:rPr>
          <w:i/>
        </w:rPr>
        <w:t xml:space="preserve">Pinus ponderosa</w:t>
      </w:r>
      <w:r>
        <w:t xml:space="preserve"> </w:t>
      </w:r>
      <w:r>
        <w:t xml:space="preserve">at LT, whose reconstructed DBH extended down to only 15cm within the time frame analyzed) and universally negative coefficients for</w:t>
      </w:r>
      <w:r>
        <w:t xml:space="preserve"> </w:t>
      </w:r>
      <m:oMath>
        <m:r>
          <m:t>D</m:t>
        </m:r>
        <m:r>
          <m:t>B</m:t>
        </m:r>
        <m:sSup>
          <m:e>
            <m:r>
              <m:t>H</m:t>
            </m:r>
          </m:e>
          <m:sup>
            <m:r>
              <m:t>2</m:t>
            </m:r>
          </m:sup>
        </m:sSup>
      </m:oMath>
      <w:r>
        <w:t xml:space="preserve">.</w:t>
      </w:r>
      <w:r>
        <w:t xml:space="preserve"> </w:t>
      </w:r>
      <w:r>
        <w:t xml:space="preserve">For</w:t>
      </w:r>
      <w:r>
        <w:t xml:space="preserve"> </w:t>
      </w:r>
      <m:oMath>
        <m:r>
          <m:t>Δ</m:t>
        </m:r>
        <m:r>
          <m:t>A</m:t>
        </m:r>
        <m:r>
          <m:t>G</m:t>
        </m:r>
        <m:r>
          <m:t>B</m:t>
        </m:r>
      </m:oMath>
      <w:r>
        <w:t xml:space="preserve">, models were even more consistent, with the best models for 100%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BCNM (Fig. S9) and LT (Fig. S16).</w:t>
      </w:r>
    </w:p>
    <w:p>
      <w:pPr>
        <w:pStyle w:val="BodyText"/>
      </w:pPr>
      <w:r>
        <w:t xml:space="preserve">Interactive effects of climate and</w:t>
      </w:r>
      <w:r>
        <w:t xml:space="preserve"> </w:t>
      </w:r>
      <m:oMath>
        <m:r>
          <m:t>D</m:t>
        </m:r>
        <m:r>
          <m:t>B</m:t>
        </m:r>
        <m:r>
          <m:t>H</m:t>
        </m:r>
      </m:oMath>
      <w:r>
        <w:t xml:space="preserve"> </w:t>
      </w:r>
      <w:r>
        <w:t xml:space="preserve">were found for 82 of the 219 (37%) species-variable combinations for which they could be tested.</w:t>
      </w:r>
      <w:r>
        <w:t xml:space="preserve"> </w:t>
      </w:r>
      <w:r>
        <w:t xml:space="preserve">For precipitation variables, interactions were significant for 34% of interactions with</w:t>
      </w:r>
      <w:r>
        <w:t xml:space="preserve"> </w:t>
      </w:r>
      <m:oMath>
        <m:r>
          <m:t>R</m:t>
        </m:r>
        <m:r>
          <m:t>W</m:t>
        </m:r>
      </m:oMath>
      <w:r>
        <w:t xml:space="preserve"> </w:t>
      </w:r>
      <w:r>
        <w:t xml:space="preserve">as the growth metric and for 47% with</w:t>
      </w:r>
      <w:r>
        <w:t xml:space="preserve"> </w:t>
      </w:r>
      <m:oMath>
        <m:r>
          <m:t>B</m:t>
        </m:r>
        <m:r>
          <m:t>A</m:t>
        </m:r>
        <m:r>
          <m:t>I</m:t>
        </m:r>
      </m:oMath>
      <w:r>
        <w:t xml:space="preserve"> </w:t>
      </w:r>
      <w:r>
        <w:t xml:space="preserve">as the growth metric (Table S6).</w:t>
      </w:r>
      <w:r>
        <w:t xml:space="preserve"> </w:t>
      </w:r>
      <w:r>
        <w:t xml:space="preserve">The majority of these interactions were positive (77%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(n=3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3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and for 29%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13 significant interactions negative with</w:t>
      </w:r>
      <w:r>
        <w:t xml:space="preserve"> </w:t>
      </w:r>
      <m:oMath>
        <m:r>
          <m:t>R</m:t>
        </m:r>
        <m:r>
          <m:t>W</m:t>
        </m:r>
      </m:oMath>
      <w:r>
        <w:t xml:space="preserve"> </w:t>
      </w:r>
      <w:r>
        <w:t xml:space="preserve">as the growth metric and 6 of 10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39">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0"/>
    <w:bookmarkStart w:id="42" w:name="Effects"/>
    <w:p>
      <w:pPr>
        <w:pStyle w:val="Heading2"/>
      </w:pPr>
      <w:r>
        <w:t xml:space="preserve">Effects of year</w:t>
      </w:r>
    </w:p>
    <w:p>
      <w:pPr>
        <w:pStyle w:val="FirstParagraph"/>
      </w:pPr>
      <w:r>
        <w:rPr>
          <w:i/>
        </w:rPr>
        <w:t xml:space="preserve">(tentative results. We’re not yet getting the constraints on scope right. It is messing up on POTR, for which only ~20 yrs of data get included.)</w:t>
      </w:r>
    </w:p>
    <w:p>
      <w:pPr>
        <w:pStyle w:val="BodyText"/>
      </w:pPr>
      <w:r>
        <w:t xml:space="preserve">There was a significant effect of</w:t>
      </w:r>
      <w:r>
        <w:t xml:space="preserve"> </w:t>
      </w:r>
      <w:r>
        <w:rPr>
          <w:rStyle w:val="VerbatimChar"/>
        </w:rPr>
        <w:t xml:space="preserve">year</w:t>
      </w:r>
      <w:r>
        <w:t xml:space="preserve"> </w:t>
      </w:r>
      <w:r>
        <w:t xml:space="preserve">in the GLS models for 32 - 36 (depending on growth metric) of the 40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(91-94%, depending on growth metric),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w:t>
      </w:r>
      <w:r>
        <w:rPr>
          <w:i/>
        </w:rPr>
        <w:t xml:space="preserve"> </w:t>
      </w:r>
      <w:r>
        <w:rPr>
          <w:b/>
          <w:i/>
        </w:rPr>
        <w:t xml:space="preserve">POTR at Cedar Breaks</w:t>
      </w:r>
      <w:r>
        <w:rPr>
          <w:i/>
        </w:rPr>
        <w:t xml:space="preserve">, and PIMA at Scotty Creek</w:t>
      </w:r>
      <w:r>
        <w:t xml:space="preserve"> </w:t>
      </w:r>
      <w:r>
        <w:t xml:space="preserve">(Fig.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 FASY at ZOF, PIPU and</w:t>
      </w:r>
      <w:r>
        <w:t xml:space="preserve"> </w:t>
      </w:r>
      <w:r>
        <w:rPr>
          <w:b/>
        </w:rPr>
        <w:t xml:space="preserve">POTR</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Fraxinus nigra</w:t>
      </w:r>
      <w:r>
        <w:t xml:space="preserve"> </w:t>
      </w:r>
      <w:r>
        <w:t xml:space="preserve">at SCBI, and</w:t>
      </w:r>
      <w:r>
        <w:t xml:space="preserve"> </w:t>
      </w:r>
      <w:r>
        <w:rPr>
          <w:i/>
        </w:rPr>
        <w:t xml:space="preserve">Picea engelmannii</w:t>
      </w:r>
      <w:r>
        <w:t xml:space="preserve"> </w:t>
      </w:r>
      <w:r>
        <w:t xml:space="preserve">and</w:t>
      </w:r>
      <w:r>
        <w:t xml:space="preserve"> </w:t>
      </w:r>
      <w:r>
        <w:rPr>
          <w:i/>
        </w:rPr>
        <w:t xml:space="preserve">Pinus flexilis</w:t>
      </w:r>
      <w:r>
        <w:t xml:space="preserve"> </w:t>
      </w:r>
      <w:r>
        <w:t xml:space="preserve">at CB.</w:t>
      </w:r>
    </w:p>
    <w:p>
      <w:pPr>
        <w:pStyle w:val="CaptionedFigure"/>
      </w:pPr>
      <w:r>
        <w:drawing>
          <wp:inline>
            <wp:extent cx="5943600" cy="1777056"/>
            <wp:effectExtent b="0" l="0" r="0" t="0"/>
            <wp:docPr descr="**Figure 6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1"/>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6 | DRAFT FIGURE. GLS model with and without year, maybe decadal analysis plot. IT WOULD BE BEST TO COMBINE THE 2 DBH FIGURES (PANELS 1,2). CURRENT EXAMPLE IS JUST SCOTTY CREEK, BUT IT WOULD BE GOOD TO SHOW AT LEAST ONE OTHER.</w:t>
      </w:r>
    </w:p>
    <w:bookmarkEnd w:id="42"/>
    <w:bookmarkEnd w:id="43"/>
    <w:bookmarkStart w:id="50" w:name="Discussion"/>
    <w:p>
      <w:pPr>
        <w:pStyle w:val="Heading1"/>
      </w:pPr>
      <w:r>
        <w:t xml:space="preserve">Discussion</w:t>
      </w:r>
    </w:p>
    <w:p>
      <w:pPr>
        <w:pStyle w:val="FirstParagraph"/>
      </w:pPr>
      <w:r>
        <w:rPr>
          <w:b/>
        </w:rPr>
        <w:t xml:space="preserve">Our new tree-ring analysis method allows simultaneous consideration of the effects of dominant climate drivers, tree size, and slowly changing environmental drivers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5), with larger trees tending to be more drought sensitive (REFS).</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6).</w:t>
      </w:r>
      <w:r>
        <w:t xml:space="preserve"> </w:t>
      </w:r>
      <w:r>
        <w:t xml:space="preserve">It is notable that growth rates of most species declined…</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4"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4"/>
    <w:bookmarkStart w:id="47"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90" w:name="References"/>
    <w:p>
      <w:pPr>
        <w:pStyle w:val="Heading1"/>
      </w:pPr>
      <w:r>
        <w:t xml:space="preserve">References</w:t>
      </w:r>
    </w:p>
    <w:bookmarkStart w:id="189"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2">
        <w:r>
          <w:rPr>
            <w:rStyle w:val="Hyperlink"/>
          </w:rPr>
          <w:t xml:space="preserve">https://doi.org/10.1007/978-3-319-61669-8</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7">
        <w:r>
          <w:rPr>
            <w:rStyle w:val="Hyperlink"/>
          </w:rPr>
          <w:t xml:space="preserve">https://doi.org/10.1078/1125-7865-00017</w:t>
        </w:r>
      </w:hyperlink>
    </w:p>
    <w:bookmarkEnd w:id="78"/>
    <w:bookmarkStart w:id="80"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9">
        <w:r>
          <w:rPr>
            <w:rStyle w:val="Hyperlink"/>
          </w:rPr>
          <w:t xml:space="preserve">https://doi.org/10.1139/cjfr-2018-0206</w:t>
        </w:r>
      </w:hyperlink>
    </w:p>
    <w:bookmarkEnd w:id="80"/>
    <w:bookmarkStart w:id="8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1">
        <w:r>
          <w:rPr>
            <w:rStyle w:val="Hyperlink"/>
          </w:rPr>
          <w:t xml:space="preserve">https://doi.org/10.1111/gcb.13535</w:t>
        </w:r>
      </w:hyperlink>
    </w:p>
    <w:bookmarkEnd w:id="82"/>
    <w:bookmarkStart w:id="84"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3">
        <w:r>
          <w:rPr>
            <w:rStyle w:val="Hyperlink"/>
          </w:rPr>
          <w:t xml:space="preserve">https://doi.org/10.1111/gcb.13366</w:t>
        </w:r>
      </w:hyperlink>
    </w:p>
    <w:bookmarkEnd w:id="84"/>
    <w:bookmarkStart w:id="86"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5">
        <w:r>
          <w:rPr>
            <w:rStyle w:val="Hyperlink"/>
          </w:rPr>
          <w:t xml:space="preserve">https://doi.org/10.1111/ele.12650</w:t>
        </w:r>
      </w:hyperlink>
    </w:p>
    <w:bookmarkEnd w:id="86"/>
    <w:bookmarkStart w:id="88"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7">
        <w:r>
          <w:rPr>
            <w:rStyle w:val="Hyperlink"/>
          </w:rPr>
          <w:t xml:space="preserve">https://doi.org/10.1016/S0378-1127(98)00242-4</w:t>
        </w:r>
      </w:hyperlink>
    </w:p>
    <w:bookmarkEnd w:id="88"/>
    <w:bookmarkStart w:id="90"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9">
        <w:r>
          <w:rPr>
            <w:rStyle w:val="Hyperlink"/>
          </w:rPr>
          <w:t xml:space="preserve">https://doi.org/10.1007/BF00282374</w:t>
        </w:r>
      </w:hyperlink>
    </w:p>
    <w:bookmarkEnd w:id="90"/>
    <w:bookmarkStart w:id="9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1">
        <w:r>
          <w:rPr>
            <w:rStyle w:val="Hyperlink"/>
          </w:rPr>
          <w:t xml:space="preserve">https://doi.org/10.1177/095968369700700314</w:t>
        </w:r>
      </w:hyperlink>
    </w:p>
    <w:bookmarkEnd w:id="92"/>
    <w:bookmarkStart w:id="9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3">
        <w:r>
          <w:rPr>
            <w:rStyle w:val="Hyperlink"/>
          </w:rPr>
          <w:t xml:space="preserve">https://doi.org/10.1038/s41467-020-14300-5</w:t>
        </w:r>
      </w:hyperlink>
    </w:p>
    <w:bookmarkEnd w:id="94"/>
    <w:bookmarkStart w:id="9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5">
        <w:r>
          <w:rPr>
            <w:rStyle w:val="Hyperlink"/>
          </w:rPr>
          <w:t xml:space="preserve">https://doi.org/10.1007/s10584-009-9594-2</w:t>
        </w:r>
      </w:hyperlink>
    </w:p>
    <w:bookmarkEnd w:id="96"/>
    <w:bookmarkStart w:id="9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7">
        <w:r>
          <w:rPr>
            <w:rStyle w:val="Hyperlink"/>
          </w:rPr>
          <w:t xml:space="preserve">https://doi.org/10.1002/ecs2.1889</w:t>
        </w:r>
      </w:hyperlink>
    </w:p>
    <w:bookmarkEnd w:id="98"/>
    <w:bookmarkStart w:id="10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9">
        <w:r>
          <w:rPr>
            <w:rStyle w:val="Hyperlink"/>
          </w:rPr>
          <w:t xml:space="preserve">https://doi.org/10.1002/ecm.1423</w:t>
        </w:r>
      </w:hyperlink>
    </w:p>
    <w:bookmarkEnd w:id="100"/>
    <w:bookmarkStart w:id="10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1">
        <w:r>
          <w:rPr>
            <w:rStyle w:val="Hyperlink"/>
          </w:rPr>
          <w:t xml:space="preserve">https://doi.org/10.1016/j.foreco.2020.118717</w:t>
        </w:r>
      </w:hyperlink>
    </w:p>
    <w:bookmarkEnd w:id="102"/>
    <w:bookmarkStart w:id="10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3">
        <w:r>
          <w:rPr>
            <w:rStyle w:val="Hyperlink"/>
          </w:rPr>
          <w:t xml:space="preserve">https://doi.org/10.1111/gcb.13208</w:t>
        </w:r>
      </w:hyperlink>
    </w:p>
    <w:bookmarkEnd w:id="104"/>
    <w:bookmarkStart w:id="10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5">
        <w:r>
          <w:rPr>
            <w:rStyle w:val="Hyperlink"/>
          </w:rPr>
          <w:t xml:space="preserve">https://doi.org/10.1175/JCLI3800.1</w:t>
        </w:r>
      </w:hyperlink>
    </w:p>
    <w:bookmarkEnd w:id="106"/>
    <w:bookmarkStart w:id="107" w:name="ref-fritts_tree_1976"/>
    <w:p>
      <w:pPr>
        <w:pStyle w:val="Bibliography"/>
      </w:pPr>
      <w:r>
        <w:t xml:space="preserve">Fritts, H. C. (1976).</w:t>
      </w:r>
      <w:r>
        <w:t xml:space="preserve"> </w:t>
      </w:r>
      <w:r>
        <w:rPr>
          <w:i/>
        </w:rPr>
        <w:t xml:space="preserve">Tree rings and climate</w:t>
      </w:r>
      <w:r>
        <w:t xml:space="preserve">. Academic Press.</w:t>
      </w:r>
    </w:p>
    <w:bookmarkEnd w:id="107"/>
    <w:bookmarkStart w:id="10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8">
        <w:r>
          <w:rPr>
            <w:rStyle w:val="Hyperlink"/>
          </w:rPr>
          <w:t xml:space="preserve">https://doi.org/10.1016/S0065-2504(08)60158-0</w:t>
        </w:r>
      </w:hyperlink>
    </w:p>
    <w:bookmarkEnd w:id="109"/>
    <w:bookmarkStart w:id="11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0">
        <w:r>
          <w:rPr>
            <w:rStyle w:val="Hyperlink"/>
          </w:rPr>
          <w:t xml:space="preserve">https://doi.org/10.1007/s10021-020-00501-y</w:t>
        </w:r>
      </w:hyperlink>
    </w:p>
    <w:bookmarkEnd w:id="111"/>
    <w:bookmarkStart w:id="113"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2">
        <w:r>
          <w:rPr>
            <w:rStyle w:val="Hyperlink"/>
          </w:rPr>
          <w:t xml:space="preserve">https://doi.org/10.5281/ZENODO.4070038</w:t>
        </w:r>
      </w:hyperlink>
    </w:p>
    <w:bookmarkEnd w:id="113"/>
    <w:bookmarkStart w:id="11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4">
        <w:r>
          <w:rPr>
            <w:rStyle w:val="Hyperlink"/>
          </w:rPr>
          <w:t xml:space="preserve">https://doi.org/10.2307/1937545</w:t>
        </w:r>
      </w:hyperlink>
    </w:p>
    <w:bookmarkEnd w:id="115"/>
    <w:bookmarkStart w:id="11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6">
        <w:r>
          <w:rPr>
            <w:rStyle w:val="Hyperlink"/>
          </w:rPr>
          <w:t xml:space="preserve">https://doi.org/10.1007/s10342-016-0982-7</w:t>
        </w:r>
      </w:hyperlink>
    </w:p>
    <w:bookmarkEnd w:id="117"/>
    <w:bookmarkStart w:id="11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8">
        <w:r>
          <w:rPr>
            <w:rStyle w:val="Hyperlink"/>
          </w:rPr>
          <w:t xml:space="preserve">https://doi.org/10.1002/joc.3711</w:t>
        </w:r>
      </w:hyperlink>
    </w:p>
    <w:bookmarkEnd w:id="119"/>
    <w:bookmarkStart w:id="12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0">
        <w:r>
          <w:rPr>
            <w:rStyle w:val="Hyperlink"/>
          </w:rPr>
          <w:t xml:space="preserve">https://doi.org/10.1038/s41597-020-0453-3</w:t>
        </w:r>
      </w:hyperlink>
    </w:p>
    <w:bookmarkEnd w:id="121"/>
    <w:bookmarkStart w:id="12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2">
        <w:r>
          <w:rPr>
            <w:rStyle w:val="Hyperlink"/>
          </w:rPr>
          <w:t xml:space="preserve">https://doi.org/10.1111/nph.15906</w:t>
        </w:r>
      </w:hyperlink>
    </w:p>
    <w:bookmarkEnd w:id="123"/>
    <w:bookmarkStart w:id="124"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4"/>
    <w:bookmarkStart w:id="12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5">
        <w:r>
          <w:rPr>
            <w:rStyle w:val="Hyperlink"/>
          </w:rPr>
          <w:t xml:space="preserve">https://doi.org/10.1038/s41467-018-07800-y</w:t>
        </w:r>
      </w:hyperlink>
    </w:p>
    <w:bookmarkEnd w:id="126"/>
    <w:bookmarkStart w:id="128"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7">
        <w:r>
          <w:rPr>
            <w:rStyle w:val="Hyperlink"/>
          </w:rPr>
          <w:t xml:space="preserve">https://doi.org/10.1093/treephys/tpaa091</w:t>
        </w:r>
      </w:hyperlink>
    </w:p>
    <w:bookmarkEnd w:id="128"/>
    <w:bookmarkStart w:id="13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9">
        <w:r>
          <w:rPr>
            <w:rStyle w:val="Hyperlink"/>
          </w:rPr>
          <w:t xml:space="preserve">https://doi.org/10.1111/nph.15668</w:t>
        </w:r>
      </w:hyperlink>
    </w:p>
    <w:bookmarkEnd w:id="130"/>
    <w:bookmarkStart w:id="13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1">
        <w:r>
          <w:rPr>
            <w:rStyle w:val="Hyperlink"/>
          </w:rPr>
          <w:t xml:space="preserve">https://doi.org/10.1111/gcb.14273</w:t>
        </w:r>
      </w:hyperlink>
    </w:p>
    <w:bookmarkEnd w:id="132"/>
    <w:bookmarkStart w:id="13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3">
        <w:r>
          <w:rPr>
            <w:rStyle w:val="Hyperlink"/>
          </w:rPr>
          <w:t xml:space="preserve">https://doi.org/10.1007/s10584-016-1720-3</w:t>
        </w:r>
      </w:hyperlink>
    </w:p>
    <w:bookmarkEnd w:id="134"/>
    <w:bookmarkStart w:id="13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5">
        <w:r>
          <w:rPr>
            <w:rStyle w:val="Hyperlink"/>
          </w:rPr>
          <w:t xml:space="preserve">https://doi.org/10.1126/science.aaz9463</w:t>
        </w:r>
      </w:hyperlink>
    </w:p>
    <w:bookmarkEnd w:id="136"/>
    <w:bookmarkStart w:id="13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7">
        <w:r>
          <w:rPr>
            <w:rStyle w:val="Hyperlink"/>
          </w:rPr>
          <w:t xml:space="preserve">https://doi.org/10.1111/nph.16996</w:t>
        </w:r>
      </w:hyperlink>
    </w:p>
    <w:bookmarkEnd w:id="138"/>
    <w:bookmarkStart w:id="14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9">
        <w:r>
          <w:rPr>
            <w:rStyle w:val="Hyperlink"/>
          </w:rPr>
          <w:t xml:space="preserve">https://doi.org/10.1016/j.cageo.2011.01.013</w:t>
        </w:r>
      </w:hyperlink>
    </w:p>
    <w:bookmarkEnd w:id="140"/>
    <w:bookmarkStart w:id="14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1"/>
    <w:bookmarkStart w:id="14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2">
        <w:r>
          <w:rPr>
            <w:rStyle w:val="Hyperlink"/>
          </w:rPr>
          <w:t xml:space="preserve">https://doi.org/10.1111/gcb.12599</w:t>
        </w:r>
      </w:hyperlink>
    </w:p>
    <w:bookmarkEnd w:id="143"/>
    <w:bookmarkStart w:id="14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4">
        <w:r>
          <w:rPr>
            <w:rStyle w:val="Hyperlink"/>
          </w:rPr>
          <w:t xml:space="preserve">https://doi.org/10.1111/j.1365-2486.2010.02222.x</w:t>
        </w:r>
      </w:hyperlink>
    </w:p>
    <w:bookmarkEnd w:id="145"/>
    <w:bookmarkStart w:id="14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6">
        <w:r>
          <w:rPr>
            <w:rStyle w:val="Hyperlink"/>
          </w:rPr>
          <w:t xml:space="preserve">https://doi.org/10.1111/gcb.12826</w:t>
        </w:r>
      </w:hyperlink>
    </w:p>
    <w:bookmarkEnd w:id="147"/>
    <w:bookmarkStart w:id="14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8">
        <w:r>
          <w:rPr>
            <w:rStyle w:val="Hyperlink"/>
          </w:rPr>
          <w:t xml:space="preserve">https://doi.org/10.1016/j.dendro.2020.125678</w:t>
        </w:r>
      </w:hyperlink>
    </w:p>
    <w:bookmarkEnd w:id="149"/>
    <w:bookmarkStart w:id="15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0">
        <w:r>
          <w:rPr>
            <w:rStyle w:val="Hyperlink"/>
          </w:rPr>
          <w:t xml:space="preserve">https://doi.org/10.1111/2041-210X.12753</w:t>
        </w:r>
      </w:hyperlink>
    </w:p>
    <w:bookmarkEnd w:id="151"/>
    <w:bookmarkStart w:id="153"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2">
        <w:r>
          <w:rPr>
            <w:rStyle w:val="Hyperlink"/>
          </w:rPr>
          <w:t xml:space="preserve">https://doi.org/10.1002/ecy.3264</w:t>
        </w:r>
      </w:hyperlink>
    </w:p>
    <w:bookmarkEnd w:id="153"/>
    <w:bookmarkStart w:id="155"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4">
        <w:r>
          <w:rPr>
            <w:rStyle w:val="Hyperlink"/>
          </w:rPr>
          <w:t xml:space="preserve">https://doi.org/10.1111/j.1469-8137.2007.02235.x</w:t>
        </w:r>
      </w:hyperlink>
    </w:p>
    <w:bookmarkEnd w:id="155"/>
    <w:bookmarkStart w:id="157"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6">
        <w:r>
          <w:rPr>
            <w:rStyle w:val="Hyperlink"/>
          </w:rPr>
          <w:t xml:space="preserve">https://doi.org/10.1016/j.foreco.2015.08.034</w:t>
        </w:r>
      </w:hyperlink>
    </w:p>
    <w:bookmarkEnd w:id="157"/>
    <w:bookmarkStart w:id="15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8">
        <w:r>
          <w:rPr>
            <w:rStyle w:val="Hyperlink"/>
          </w:rPr>
          <w:t xml:space="preserve">https://doi.org/10.1002/2016JG003528</w:t>
        </w:r>
      </w:hyperlink>
    </w:p>
    <w:bookmarkEnd w:id="159"/>
    <w:bookmarkStart w:id="16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0"/>
    <w:bookmarkStart w:id="16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1">
        <w:r>
          <w:rPr>
            <w:rStyle w:val="Hyperlink"/>
          </w:rPr>
          <w:t xml:space="preserve">https://doi.org/10.1038/nature12914</w:t>
        </w:r>
      </w:hyperlink>
    </w:p>
    <w:bookmarkEnd w:id="162"/>
    <w:bookmarkStart w:id="164"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3">
        <w:r>
          <w:rPr>
            <w:rStyle w:val="Hyperlink"/>
          </w:rPr>
          <w:t xml:space="preserve">https://doi.org/10.1126/science.aaw7578</w:t>
        </w:r>
      </w:hyperlink>
    </w:p>
    <w:bookmarkEnd w:id="164"/>
    <w:bookmarkStart w:id="166"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5">
        <w:r>
          <w:rPr>
            <w:rStyle w:val="Hyperlink"/>
          </w:rPr>
          <w:t xml:space="preserve">https://doi.org/10.1088/1748-9326/11/11/114007</w:t>
        </w:r>
      </w:hyperlink>
    </w:p>
    <w:bookmarkEnd w:id="166"/>
    <w:bookmarkStart w:id="16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7">
        <w:r>
          <w:rPr>
            <w:rStyle w:val="Hyperlink"/>
          </w:rPr>
          <w:t xml:space="preserve">https://doi.org/10.1111/jvs.12025</w:t>
        </w:r>
      </w:hyperlink>
    </w:p>
    <w:bookmarkEnd w:id="168"/>
    <w:bookmarkStart w:id="17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9">
        <w:r>
          <w:rPr>
            <w:rStyle w:val="Hyperlink"/>
          </w:rPr>
          <w:t xml:space="preserve">https://doi.org/10.1016/j.agrformet.2017.08.007</w:t>
        </w:r>
      </w:hyperlink>
    </w:p>
    <w:bookmarkEnd w:id="170"/>
    <w:bookmarkStart w:id="17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1">
        <w:r>
          <w:rPr>
            <w:rStyle w:val="Hyperlink"/>
          </w:rPr>
          <w:t xml:space="preserve">https://doi.org/10.1111/gcb.14120</w:t>
        </w:r>
      </w:hyperlink>
    </w:p>
    <w:bookmarkEnd w:id="172"/>
    <w:bookmarkStart w:id="17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3">
        <w:r>
          <w:rPr>
            <w:rStyle w:val="Hyperlink"/>
          </w:rPr>
          <w:t xml:space="preserve">https://doi.org/10.5194/cp-9-1481-2013</w:t>
        </w:r>
      </w:hyperlink>
    </w:p>
    <w:bookmarkEnd w:id="174"/>
    <w:bookmarkStart w:id="17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5">
        <w:r>
          <w:rPr>
            <w:rStyle w:val="Hyperlink"/>
          </w:rPr>
          <w:t xml:space="preserve">https://doi.org/10.1016/j.agrformet.2017.07.015</w:t>
        </w:r>
      </w:hyperlink>
    </w:p>
    <w:bookmarkEnd w:id="176"/>
    <w:bookmarkStart w:id="17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7">
        <w:r>
          <w:rPr>
            <w:rStyle w:val="Hyperlink"/>
          </w:rPr>
          <w:t xml:space="preserve">https://doi.org/10.1111/2041-210X.12590</w:t>
        </w:r>
      </w:hyperlink>
    </w:p>
    <w:bookmarkEnd w:id="178"/>
    <w:bookmarkStart w:id="18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9">
        <w:r>
          <w:rPr>
            <w:rStyle w:val="Hyperlink"/>
          </w:rPr>
          <w:t xml:space="preserve">https://doi.org/10.1007/s00442-013-2846-x</w:t>
        </w:r>
      </w:hyperlink>
    </w:p>
    <w:bookmarkEnd w:id="180"/>
    <w:bookmarkStart w:id="18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1">
        <w:r>
          <w:rPr>
            <w:rStyle w:val="Hyperlink"/>
          </w:rPr>
          <w:t xml:space="preserve">https://doi.org/10.1111/nph.16866</w:t>
        </w:r>
      </w:hyperlink>
    </w:p>
    <w:bookmarkEnd w:id="182"/>
    <w:bookmarkStart w:id="18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3">
        <w:r>
          <w:rPr>
            <w:rStyle w:val="Hyperlink"/>
          </w:rPr>
          <w:t xml:space="preserve">https://doi.org/10.1038/nclimate1693</w:t>
        </w:r>
      </w:hyperlink>
    </w:p>
    <w:bookmarkEnd w:id="184"/>
    <w:bookmarkStart w:id="18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5">
        <w:r>
          <w:rPr>
            <w:rStyle w:val="Hyperlink"/>
          </w:rPr>
          <w:t xml:space="preserve">https://doi.org/10.1191/095968399667128516</w:t>
        </w:r>
      </w:hyperlink>
    </w:p>
    <w:bookmarkEnd w:id="186"/>
    <w:bookmarkStart w:id="18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7">
        <w:r>
          <w:rPr>
            <w:rStyle w:val="Hyperlink"/>
          </w:rPr>
          <w:t xml:space="preserve">https://doi.org/10.1111/ecog.01335</w:t>
        </w:r>
      </w:hyperlink>
    </w:p>
    <w:bookmarkEnd w:id="188"/>
    <w:bookmarkEnd w:id="189"/>
    <w:bookmarkEnd w:id="19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2021-01-04T14:17:25Z</dcterms:created>
  <dcterms:modified xsi:type="dcterms:W3CDTF">2021-01-04T14:17:25Z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